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233BB" w14:textId="77777777" w:rsidR="008B0E42" w:rsidRPr="008B0E42" w:rsidRDefault="008B0E42" w:rsidP="008B0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</w:pPr>
      <w:r w:rsidRPr="008B0E42">
        <w:rPr>
          <w:rFonts w:ascii="Calibri" w:eastAsia="Times New Roman" w:hAnsi="Calibri" w:cs="Calibri"/>
          <w:b/>
          <w:iCs/>
          <w:noProof/>
          <w:sz w:val="24"/>
          <w:szCs w:val="24"/>
          <w:lang w:eastAsia="sk-SK"/>
        </w:rPr>
        <w:t>Program: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 xml:space="preserve"> Programul Regional București-Ilfov 2021-2027</w:t>
      </w:r>
    </w:p>
    <w:p w14:paraId="61578EDC" w14:textId="77777777" w:rsidR="008B0E42" w:rsidRPr="008B0E42" w:rsidRDefault="008B0E42" w:rsidP="008B0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</w:pPr>
      <w:r w:rsidRPr="008B0E42">
        <w:rPr>
          <w:rFonts w:ascii="Calibri" w:eastAsia="Times New Roman" w:hAnsi="Calibri" w:cs="Calibri"/>
          <w:b/>
          <w:iCs/>
          <w:noProof/>
          <w:sz w:val="24"/>
          <w:szCs w:val="24"/>
          <w:lang w:eastAsia="sk-SK"/>
        </w:rPr>
        <w:t>Prioritate: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 xml:space="preserve"> 1.</w:t>
      </w:r>
      <w:r w:rsidRPr="008B0E42">
        <w:rPr>
          <w:rFonts w:ascii="Calibri" w:eastAsia="Times New Roman" w:hAnsi="Calibri" w:cs="Times New Roman"/>
          <w:iCs/>
          <w:noProof/>
          <w:szCs w:val="24"/>
          <w:lang w:eastAsia="sk-SK"/>
        </w:rPr>
        <w:t xml:space="preserve"> 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>O regiune competitivă prin inovare, digitalizare și întreprinderi dinamice</w:t>
      </w:r>
    </w:p>
    <w:p w14:paraId="7710668F" w14:textId="77777777" w:rsidR="008B0E42" w:rsidRPr="008B0E42" w:rsidRDefault="008B0E42" w:rsidP="008B0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</w:pPr>
      <w:r w:rsidRPr="008B0E42">
        <w:rPr>
          <w:rFonts w:ascii="Calibri" w:eastAsia="Times New Roman" w:hAnsi="Calibri" w:cs="Calibri"/>
          <w:b/>
          <w:iCs/>
          <w:noProof/>
          <w:sz w:val="24"/>
          <w:szCs w:val="24"/>
          <w:lang w:eastAsia="sk-SK"/>
        </w:rPr>
        <w:t xml:space="preserve">Obiectiv de politică: 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>1. O Europă mai competitivă și mai inteligentă, prin promovarea unei transformări economice inovatoare și inteligente și a conectivității TIC regionale</w:t>
      </w:r>
    </w:p>
    <w:p w14:paraId="4B3B7795" w14:textId="77777777" w:rsidR="008B0E42" w:rsidRPr="008B0E42" w:rsidRDefault="008B0E42" w:rsidP="008B0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</w:pPr>
      <w:r w:rsidRPr="008B0E42">
        <w:rPr>
          <w:rFonts w:ascii="Calibri" w:eastAsia="Times New Roman" w:hAnsi="Calibri" w:cs="Calibri"/>
          <w:b/>
          <w:iCs/>
          <w:noProof/>
          <w:sz w:val="24"/>
          <w:szCs w:val="24"/>
          <w:lang w:eastAsia="sk-SK"/>
        </w:rPr>
        <w:t>Obiectiv specific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>: 1.3. Intensificarea creșterii sustenabile și creșterea competitivității IMM-urilor și crearea de locuri de muncă în cadrul IMM-urilor, inclusiv prin investiții productive (FEDR)</w:t>
      </w:r>
    </w:p>
    <w:p w14:paraId="43675DE1" w14:textId="77777777" w:rsidR="008B0E42" w:rsidRPr="008B0E42" w:rsidRDefault="008B0E42" w:rsidP="008B0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</w:pPr>
      <w:r w:rsidRPr="008B0E42">
        <w:rPr>
          <w:rFonts w:ascii="Calibri" w:eastAsia="Times New Roman" w:hAnsi="Calibri" w:cs="Calibri"/>
          <w:b/>
          <w:iCs/>
          <w:noProof/>
          <w:sz w:val="24"/>
          <w:szCs w:val="24"/>
          <w:lang w:eastAsia="sk-SK"/>
        </w:rPr>
        <w:t>Acțiunea:</w:t>
      </w:r>
      <w:r w:rsidRPr="008B0E42">
        <w:rPr>
          <w:rFonts w:ascii="Calibri" w:eastAsia="Times New Roman" w:hAnsi="Calibri" w:cs="Calibri"/>
          <w:iCs/>
          <w:noProof/>
          <w:sz w:val="24"/>
          <w:szCs w:val="24"/>
          <w:lang w:eastAsia="sk-SK"/>
        </w:rPr>
        <w:t xml:space="preserve"> 1.8. Sprijin pentru creșterea durabilă și modernizarea tehnologică a microîntreprinderilor.</w:t>
      </w:r>
    </w:p>
    <w:p w14:paraId="099CBA6F" w14:textId="77777777" w:rsidR="00CE3EFE" w:rsidRDefault="00CE3EFE" w:rsidP="00CE3EFE">
      <w:pPr>
        <w:tabs>
          <w:tab w:val="left" w:pos="426"/>
        </w:tabs>
        <w:spacing w:after="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4ABB4FEA" w14:textId="0E8C0211" w:rsidR="007A4541" w:rsidRPr="00B76C36" w:rsidRDefault="008B0E42" w:rsidP="00045AA8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>
        <w:rPr>
          <w:rFonts w:eastAsia="Times New Roman" w:cstheme="minorHAnsi"/>
          <w:b/>
          <w:bCs/>
          <w:sz w:val="24"/>
          <w:szCs w:val="24"/>
          <w:lang w:eastAsia="ro-RO"/>
        </w:rPr>
        <w:t>Anexa</w:t>
      </w:r>
      <w:r w:rsidR="00CE3EFE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</w:t>
      </w:r>
      <w:r w:rsidR="00871DB4">
        <w:rPr>
          <w:rFonts w:eastAsia="Times New Roman" w:cstheme="minorHAnsi"/>
          <w:b/>
          <w:bCs/>
          <w:sz w:val="24"/>
          <w:szCs w:val="24"/>
          <w:lang w:eastAsia="ro-RO"/>
        </w:rPr>
        <w:t>12</w:t>
      </w:r>
      <w:r>
        <w:rPr>
          <w:rFonts w:eastAsia="Times New Roman" w:cstheme="minorHAnsi"/>
          <w:b/>
          <w:bCs/>
          <w:sz w:val="24"/>
          <w:szCs w:val="24"/>
          <w:lang w:eastAsia="ro-RO"/>
        </w:rPr>
        <w:t>.</w:t>
      </w:r>
      <w:r w:rsidR="00CE3EFE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</w:t>
      </w:r>
      <w:r w:rsidR="00B76C36" w:rsidRPr="00B76C36">
        <w:rPr>
          <w:rFonts w:eastAsia="Times New Roman" w:cstheme="minorHAnsi"/>
          <w:b/>
          <w:bCs/>
          <w:sz w:val="24"/>
          <w:szCs w:val="24"/>
          <w:lang w:eastAsia="ro-RO"/>
        </w:rPr>
        <w:t>Gril</w:t>
      </w:r>
      <w:r>
        <w:rPr>
          <w:rFonts w:eastAsia="Times New Roman" w:cstheme="minorHAnsi"/>
          <w:b/>
          <w:bCs/>
          <w:sz w:val="24"/>
          <w:szCs w:val="24"/>
          <w:lang w:eastAsia="ro-RO"/>
        </w:rPr>
        <w:t>ă</w:t>
      </w:r>
      <w:r w:rsidR="00B76C36" w:rsidRPr="00B76C36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Imunizare</w:t>
      </w:r>
      <w:r w:rsidR="006D2452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a schimbări</w:t>
      </w:r>
      <w:r w:rsidR="00617F4E">
        <w:rPr>
          <w:rFonts w:eastAsia="Times New Roman" w:cstheme="minorHAnsi"/>
          <w:b/>
          <w:bCs/>
          <w:sz w:val="24"/>
          <w:szCs w:val="24"/>
          <w:lang w:eastAsia="ro-RO"/>
        </w:rPr>
        <w:t>i</w:t>
      </w:r>
      <w:r w:rsidR="006D2452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climatice</w:t>
      </w:r>
      <w:r w:rsidR="00B76C36" w:rsidRPr="00B76C36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 xml:space="preserve">Prioritatea </w:t>
      </w:r>
      <w:r w:rsidR="006D2452">
        <w:rPr>
          <w:rFonts w:eastAsia="Times New Roman" w:cstheme="minorHAnsi"/>
          <w:b/>
          <w:bCs/>
          <w:sz w:val="24"/>
          <w:szCs w:val="24"/>
          <w:lang w:eastAsia="ro-RO"/>
        </w:rPr>
        <w:t>1</w:t>
      </w:r>
      <w:r w:rsidR="0073745D">
        <w:rPr>
          <w:rFonts w:eastAsia="Times New Roman" w:cstheme="minorHAnsi"/>
          <w:b/>
          <w:bCs/>
          <w:sz w:val="24"/>
          <w:szCs w:val="24"/>
          <w:lang w:eastAsia="ro-RO"/>
        </w:rPr>
        <w:t>/</w:t>
      </w:r>
      <w:r w:rsidR="006D2452">
        <w:rPr>
          <w:rFonts w:eastAsia="Times New Roman" w:cstheme="minorHAnsi"/>
          <w:b/>
          <w:bCs/>
          <w:sz w:val="24"/>
          <w:szCs w:val="24"/>
          <w:lang w:eastAsia="ro-RO"/>
        </w:rPr>
        <w:t>1.8</w:t>
      </w:r>
    </w:p>
    <w:p w14:paraId="5D2C2C9C" w14:textId="02B85383" w:rsidR="006A1E62" w:rsidRPr="006A1E62" w:rsidRDefault="006A1E62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</w:p>
    <w:p w14:paraId="74687F36" w14:textId="77777777" w:rsidR="006A1E62" w:rsidRPr="006A1E62" w:rsidRDefault="006A1E62" w:rsidP="0072496D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lang w:eastAsia="ro-RO"/>
        </w:rPr>
      </w:pP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890"/>
        <w:gridCol w:w="6395"/>
        <w:gridCol w:w="1715"/>
        <w:gridCol w:w="5387"/>
      </w:tblGrid>
      <w:tr w:rsidR="008C439A" w:rsidRPr="006A1E62" w14:paraId="08E40046" w14:textId="3DD1A91C" w:rsidTr="00CE3EFE">
        <w:trPr>
          <w:trHeight w:val="1030"/>
          <w:tblHeader/>
        </w:trPr>
        <w:tc>
          <w:tcPr>
            <w:tcW w:w="498" w:type="dxa"/>
            <w:shd w:val="clear" w:color="auto" w:fill="D9E2F3" w:themeFill="accent1" w:themeFillTint="33"/>
            <w:noWrap/>
            <w:vAlign w:val="center"/>
            <w:hideMark/>
          </w:tcPr>
          <w:p w14:paraId="6344E519" w14:textId="72C60A80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Nr. crt</w:t>
            </w:r>
            <w:r w:rsidR="00CE3EFE">
              <w:rPr>
                <w:rFonts w:eastAsia="Calibri" w:cstheme="minorHAnsi"/>
                <w:b/>
                <w:bCs/>
              </w:rPr>
              <w:t>.</w:t>
            </w:r>
          </w:p>
        </w:tc>
        <w:tc>
          <w:tcPr>
            <w:tcW w:w="890" w:type="dxa"/>
            <w:shd w:val="clear" w:color="auto" w:fill="D9E2F3" w:themeFill="accent1" w:themeFillTint="33"/>
            <w:vAlign w:val="center"/>
            <w:hideMark/>
          </w:tcPr>
          <w:p w14:paraId="10FE6841" w14:textId="77777777" w:rsidR="008C439A" w:rsidRPr="006A1E62" w:rsidRDefault="008C439A" w:rsidP="00E03378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Obiectiv de mediu</w:t>
            </w:r>
          </w:p>
        </w:tc>
        <w:tc>
          <w:tcPr>
            <w:tcW w:w="6395" w:type="dxa"/>
            <w:shd w:val="clear" w:color="auto" w:fill="D9E2F3" w:themeFill="accent1" w:themeFillTint="33"/>
            <w:vAlign w:val="center"/>
          </w:tcPr>
          <w:p w14:paraId="1A0DC499" w14:textId="77777777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Măsuri minime obligatorii </w:t>
            </w:r>
          </w:p>
          <w:p w14:paraId="5540D8BF" w14:textId="501473D6" w:rsidR="008C439A" w:rsidRPr="006A1E62" w:rsidRDefault="00CE3EFE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Times New Roman" w:cstheme="minorHAnsi"/>
                <w:b/>
                <w:bCs/>
                <w:lang w:eastAsia="ro-RO"/>
              </w:rPr>
              <w:t>prevăzute</w:t>
            </w:r>
            <w:r w:rsidR="008C439A"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lang w:eastAsia="ro-RO"/>
              </w:rPr>
              <w:t>î</w:t>
            </w:r>
            <w:r w:rsidR="008C439A" w:rsidRPr="006A1E62">
              <w:rPr>
                <w:rFonts w:eastAsia="Times New Roman" w:cstheme="minorHAnsi"/>
                <w:b/>
                <w:bCs/>
                <w:lang w:eastAsia="ro-RO"/>
              </w:rPr>
              <w:t xml:space="preserve">n </w:t>
            </w:r>
            <w:r w:rsidR="008C439A" w:rsidRPr="006A1E62">
              <w:rPr>
                <w:rFonts w:eastAsia="Calibri" w:cstheme="minorHAnsi"/>
                <w:b/>
                <w:bCs/>
              </w:rPr>
              <w:t>DALI/SF/PT/ Doc</w:t>
            </w:r>
            <w:r w:rsidR="007D09C4">
              <w:rPr>
                <w:rFonts w:eastAsia="Calibri" w:cstheme="minorHAnsi"/>
                <w:b/>
                <w:bCs/>
              </w:rPr>
              <w:t>ument</w:t>
            </w:r>
            <w:r w:rsidR="008C439A" w:rsidRPr="006A1E62">
              <w:rPr>
                <w:rFonts w:eastAsia="Calibri" w:cstheme="minorHAnsi"/>
                <w:b/>
                <w:bCs/>
              </w:rPr>
              <w:t xml:space="preserve"> suplimentar</w:t>
            </w:r>
            <w:r w:rsidR="007D09C4">
              <w:rPr>
                <w:rFonts w:eastAsia="Calibri" w:cstheme="minorHAnsi"/>
                <w:b/>
                <w:bCs/>
              </w:rPr>
              <w:t xml:space="preserve">/cererea de </w:t>
            </w:r>
            <w:r>
              <w:rPr>
                <w:rFonts w:eastAsia="Calibri" w:cstheme="minorHAnsi"/>
                <w:b/>
                <w:bCs/>
              </w:rPr>
              <w:t>finanțare</w:t>
            </w:r>
          </w:p>
        </w:tc>
        <w:tc>
          <w:tcPr>
            <w:tcW w:w="1715" w:type="dxa"/>
            <w:shd w:val="clear" w:color="auto" w:fill="D9E2F3" w:themeFill="accent1" w:themeFillTint="33"/>
            <w:vAlign w:val="center"/>
          </w:tcPr>
          <w:p w14:paraId="30609AB9" w14:textId="5856A8ED" w:rsidR="008C439A" w:rsidRPr="006A1E62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6A1E62">
              <w:rPr>
                <w:rFonts w:eastAsia="Calibri" w:cstheme="minorHAnsi"/>
                <w:b/>
                <w:bCs/>
              </w:rPr>
              <w:t>Rezultat</w:t>
            </w:r>
            <w:r w:rsidRPr="006A1E62">
              <w:rPr>
                <w:rFonts w:eastAsia="Calibri" w:cstheme="minorHAnsi"/>
                <w:b/>
                <w:bCs/>
              </w:rPr>
              <w:br/>
              <w:t xml:space="preserve"> (Da/</w:t>
            </w:r>
            <w:r w:rsidR="00CE3EFE">
              <w:rPr>
                <w:rFonts w:eastAsia="Calibri" w:cstheme="minorHAnsi"/>
                <w:b/>
                <w:bCs/>
              </w:rPr>
              <w:t xml:space="preserve"> </w:t>
            </w:r>
            <w:r w:rsidRPr="006A1E62">
              <w:rPr>
                <w:rFonts w:eastAsia="Calibri" w:cstheme="minorHAnsi"/>
                <w:b/>
                <w:bCs/>
              </w:rPr>
              <w:t>Nu/ N/A)</w:t>
            </w:r>
          </w:p>
        </w:tc>
        <w:tc>
          <w:tcPr>
            <w:tcW w:w="5387" w:type="dxa"/>
            <w:shd w:val="clear" w:color="auto" w:fill="D9E2F3" w:themeFill="accent1" w:themeFillTint="33"/>
            <w:vAlign w:val="center"/>
          </w:tcPr>
          <w:p w14:paraId="2F517176" w14:textId="6BB34B25" w:rsidR="008C439A" w:rsidRPr="006A1E62" w:rsidRDefault="00CE3EFE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6A1E62">
              <w:rPr>
                <w:rFonts w:eastAsia="Calibri" w:cstheme="minorHAnsi"/>
                <w:b/>
                <w:bCs/>
              </w:rPr>
              <w:t>Observații</w:t>
            </w:r>
          </w:p>
        </w:tc>
      </w:tr>
      <w:tr w:rsidR="008C439A" w:rsidRPr="006A1E62" w14:paraId="6B37077A" w14:textId="77777777" w:rsidTr="00CE3EFE">
        <w:trPr>
          <w:trHeight w:val="1037"/>
        </w:trPr>
        <w:tc>
          <w:tcPr>
            <w:tcW w:w="498" w:type="dxa"/>
            <w:shd w:val="clear" w:color="auto" w:fill="auto"/>
            <w:noWrap/>
            <w:vAlign w:val="center"/>
          </w:tcPr>
          <w:p w14:paraId="5FFB2783" w14:textId="46D9FF8B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1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127BD82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shd w:val="clear" w:color="auto" w:fill="auto"/>
          </w:tcPr>
          <w:p w14:paraId="2C9DFF44" w14:textId="24694942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făcută o descriere a proiectului (amplasament, dimensiune</w:t>
            </w:r>
            <w:r w:rsidR="00B21AFD">
              <w:rPr>
                <w:rFonts w:eastAsia="Times New Roman" w:cstheme="minorHAnsi"/>
                <w:lang w:eastAsia="ro-RO"/>
              </w:rPr>
              <w:t>,</w:t>
            </w:r>
            <w:r w:rsidRPr="006A1E62">
              <w:rPr>
                <w:rFonts w:eastAsia="Times New Roman" w:cstheme="minorHAnsi"/>
                <w:lang w:eastAsia="ro-RO"/>
              </w:rPr>
              <w:t xml:space="preserve"> etc.) și informațiile prezentate sunt în concordanță cu cele din cererea de finanțare?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456A1C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C887D2E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2DB3A70C" w14:textId="77777777" w:rsidTr="00CE3EFE">
        <w:trPr>
          <w:trHeight w:val="1070"/>
        </w:trPr>
        <w:tc>
          <w:tcPr>
            <w:tcW w:w="498" w:type="dxa"/>
            <w:shd w:val="clear" w:color="auto" w:fill="auto"/>
            <w:noWrap/>
            <w:vAlign w:val="center"/>
          </w:tcPr>
          <w:p w14:paraId="64663DC6" w14:textId="342D467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2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15CBD74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395" w:type="dxa"/>
            <w:shd w:val="clear" w:color="auto" w:fill="auto"/>
          </w:tcPr>
          <w:p w14:paraId="1DDCF3E5" w14:textId="0167D6B3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o descriere succintă a procesului de imunizare, inclusiv corelarea cu studiul de impact asupra mediului (acolo unde este cazul)?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085491F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D9524DB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AE11651" w14:textId="77777777" w:rsidTr="00CE3EFE">
        <w:trPr>
          <w:trHeight w:val="1263"/>
        </w:trPr>
        <w:tc>
          <w:tcPr>
            <w:tcW w:w="498" w:type="dxa"/>
            <w:vMerge w:val="restart"/>
            <w:shd w:val="clear" w:color="auto" w:fill="auto"/>
            <w:noWrap/>
            <w:textDirection w:val="btLr"/>
            <w:vAlign w:val="center"/>
          </w:tcPr>
          <w:p w14:paraId="7EBC0F82" w14:textId="764394E0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lastRenderedPageBreak/>
              <w:t>3. ATENUARE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FABE657" w14:textId="4F575176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shd w:val="clear" w:color="auto" w:fill="auto"/>
          </w:tcPr>
          <w:p w14:paraId="56048155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realizată evaluarea impactului proiectului asupra emisiilor de GES?</w:t>
            </w:r>
          </w:p>
          <w:p w14:paraId="50B051AD" w14:textId="6E689FB2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o evaluare a amprentei de carbon, este prezentată o justificare privind examinarea neutralității climatice?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173A2AE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4D1ACDB" w14:textId="6CFA8753" w:rsidR="008C439A" w:rsidRPr="006A1E62" w:rsidRDefault="008C439A" w:rsidP="008C439A">
            <w:pPr>
              <w:pStyle w:val="Listparagraf"/>
              <w:spacing w:after="0" w:line="240" w:lineRule="auto"/>
              <w:ind w:left="261"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1C91613B" w14:textId="77777777" w:rsidTr="00CE3EFE">
        <w:trPr>
          <w:trHeight w:val="864"/>
        </w:trPr>
        <w:tc>
          <w:tcPr>
            <w:tcW w:w="498" w:type="dxa"/>
            <w:vMerge/>
            <w:shd w:val="clear" w:color="auto" w:fill="auto"/>
            <w:noWrap/>
            <w:vAlign w:val="center"/>
          </w:tcPr>
          <w:p w14:paraId="2DD144B0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5044F2B9" w14:textId="239951CE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shd w:val="clear" w:color="auto" w:fill="auto"/>
          </w:tcPr>
          <w:p w14:paraId="5C18BABB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indicată metodologia în baza căreia sunt calculate emisiile de GES?</w:t>
            </w:r>
          </w:p>
          <w:p w14:paraId="2E598D06" w14:textId="77777777" w:rsidR="008C439A" w:rsidRPr="006A1E62" w:rsidRDefault="008C439A" w:rsidP="003F4D3E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jc w:val="both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Emisiile de GES generate de proiect sunt calculate și comparate cu limitele de încadrare (screening) absolute (total emisii) și relative (diferența dintre situația cu proiect si situația fără proiect/scenariul de referință)?</w:t>
            </w:r>
          </w:p>
          <w:p w14:paraId="0020746F" w14:textId="28B2D2A4" w:rsidR="00CE3EFE" w:rsidRPr="00A63AB2" w:rsidRDefault="008C439A" w:rsidP="00A63AB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calculată valoarea monetară a emisiilor de GES?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81F75E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E1D13E7" w14:textId="622675A9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ABE02B7" w14:textId="77777777" w:rsidTr="00CE3EFE">
        <w:trPr>
          <w:trHeight w:val="2971"/>
        </w:trPr>
        <w:tc>
          <w:tcPr>
            <w:tcW w:w="498" w:type="dxa"/>
            <w:vMerge w:val="restart"/>
            <w:shd w:val="clear" w:color="auto" w:fill="auto"/>
            <w:noWrap/>
            <w:textDirection w:val="btLr"/>
            <w:vAlign w:val="center"/>
          </w:tcPr>
          <w:p w14:paraId="1F0AE531" w14:textId="64EE003D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4. ADAPTARE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00749FE" w14:textId="76856904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1</w:t>
            </w:r>
          </w:p>
        </w:tc>
        <w:tc>
          <w:tcPr>
            <w:tcW w:w="6395" w:type="dxa"/>
            <w:shd w:val="clear" w:color="auto" w:fill="auto"/>
          </w:tcPr>
          <w:p w14:paraId="5C788AC0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tipul respectiv de proiect, indiferent de localizarea acestuia (Analiza sensibilității)?</w:t>
            </w:r>
          </w:p>
          <w:p w14:paraId="62179683" w14:textId="2BA40644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identificate hazardurile climatice relevante pentru locația proiectului</w:t>
            </w:r>
            <w:r w:rsidR="00AF62A9">
              <w:rPr>
                <w:rFonts w:eastAsia="Times New Roman" w:cstheme="minorHAnsi"/>
                <w:lang w:eastAsia="ro-RO"/>
              </w:rPr>
              <w:t>,</w:t>
            </w:r>
            <w:r w:rsidRPr="006A1E62">
              <w:rPr>
                <w:rFonts w:eastAsia="Times New Roman" w:cstheme="minorHAnsi"/>
                <w:lang w:eastAsia="ro-RO"/>
              </w:rPr>
              <w:t xml:space="preserve"> indiferent de tipul de proiect (Analiza expunerii)?</w:t>
            </w:r>
          </w:p>
          <w:p w14:paraId="0469F42D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menționate sursele datelor utilizate pentru analiza expunerii?</w:t>
            </w:r>
          </w:p>
          <w:p w14:paraId="2EB17441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hazarduri semnificative (Analiza de vulnerabilitate)?</w:t>
            </w:r>
          </w:p>
          <w:p w14:paraId="32AE49CD" w14:textId="1E3FC681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Dacă proiectul nu necesită analiză detaliată este prezentată o justificare?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351FD9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E232A7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38AA927C" w14:textId="77777777" w:rsidTr="00CE3EFE">
        <w:trPr>
          <w:trHeight w:val="2400"/>
        </w:trPr>
        <w:tc>
          <w:tcPr>
            <w:tcW w:w="498" w:type="dxa"/>
            <w:vMerge/>
            <w:shd w:val="clear" w:color="auto" w:fill="auto"/>
            <w:noWrap/>
            <w:vAlign w:val="center"/>
          </w:tcPr>
          <w:p w14:paraId="6007A91D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20EFA7B6" w14:textId="65BDCDDB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Et 2</w:t>
            </w:r>
          </w:p>
        </w:tc>
        <w:tc>
          <w:tcPr>
            <w:tcW w:w="6395" w:type="dxa"/>
            <w:shd w:val="clear" w:color="auto" w:fill="auto"/>
          </w:tcPr>
          <w:p w14:paraId="0DB4D438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Este determinată probabilitatea de apariție a hazardurilor climatice identificate (Analiza probabilității)?</w:t>
            </w:r>
          </w:p>
          <w:p w14:paraId="1CABCCE0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Sunt determinate consecințele în cazul în care apare hazardul climatic identificat (Analiza impactului)?</w:t>
            </w:r>
          </w:p>
          <w:p w14:paraId="79F65D72" w14:textId="77777777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  <w:p w14:paraId="2501B35B" w14:textId="10ACC0F1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Au fost identificate riscurile semnificative pentru care trebuie luate măsuri de adaptare (Analiza riscului)?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D4A736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ACDEA84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4CB69148" w14:textId="77777777" w:rsidTr="00CE3EFE">
        <w:trPr>
          <w:trHeight w:val="820"/>
        </w:trPr>
        <w:tc>
          <w:tcPr>
            <w:tcW w:w="498" w:type="dxa"/>
            <w:shd w:val="clear" w:color="auto" w:fill="auto"/>
            <w:noWrap/>
            <w:vAlign w:val="center"/>
          </w:tcPr>
          <w:p w14:paraId="524E4749" w14:textId="0B89A653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5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0118D45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shd w:val="clear" w:color="auto" w:fill="auto"/>
          </w:tcPr>
          <w:p w14:paraId="5C654A0F" w14:textId="2B442F62" w:rsidR="008C439A" w:rsidRPr="006A1E62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>Informațiile privind Imunizarea la schimbările climatice sunt complete și corecte?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4D711EB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F6C66F5" w14:textId="77777777" w:rsidR="008C439A" w:rsidRPr="006A1E62" w:rsidRDefault="008C439A" w:rsidP="001351D0">
            <w:pPr>
              <w:spacing w:after="0" w:line="240" w:lineRule="auto"/>
              <w:ind w:right="-57"/>
              <w:rPr>
                <w:rFonts w:eastAsia="Calibri" w:cstheme="minorHAnsi"/>
                <w:b/>
                <w:bCs/>
              </w:rPr>
            </w:pPr>
          </w:p>
        </w:tc>
      </w:tr>
      <w:tr w:rsidR="008C439A" w:rsidRPr="006A1E62" w14:paraId="5CF71A2B" w14:textId="77777777" w:rsidTr="002F6A7C">
        <w:trPr>
          <w:trHeight w:val="959"/>
        </w:trPr>
        <w:tc>
          <w:tcPr>
            <w:tcW w:w="498" w:type="dxa"/>
            <w:shd w:val="clear" w:color="auto" w:fill="auto"/>
            <w:noWrap/>
            <w:vAlign w:val="center"/>
          </w:tcPr>
          <w:p w14:paraId="66A6C913" w14:textId="3ABE627E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</w:rPr>
            </w:pPr>
            <w:r w:rsidRPr="006A1E62">
              <w:rPr>
                <w:rFonts w:eastAsia="Calibri" w:cstheme="minorHAnsi"/>
              </w:rPr>
              <w:t>6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77CC9F3" w14:textId="77777777" w:rsidR="008C439A" w:rsidRPr="006A1E62" w:rsidRDefault="008C439A" w:rsidP="003B5AC2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</w:rPr>
            </w:pPr>
          </w:p>
        </w:tc>
        <w:tc>
          <w:tcPr>
            <w:tcW w:w="6395" w:type="dxa"/>
            <w:shd w:val="clear" w:color="auto" w:fill="auto"/>
          </w:tcPr>
          <w:p w14:paraId="7273357A" w14:textId="77777777" w:rsidR="008C439A" w:rsidRDefault="008C439A" w:rsidP="003B5AC2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261" w:right="-57" w:hanging="284"/>
              <w:rPr>
                <w:rFonts w:eastAsia="Times New Roman" w:cstheme="minorHAnsi"/>
                <w:lang w:eastAsia="ro-RO"/>
              </w:rPr>
            </w:pPr>
            <w:r w:rsidRPr="006A1E62">
              <w:rPr>
                <w:rFonts w:eastAsia="Times New Roman" w:cstheme="minorHAnsi"/>
                <w:lang w:eastAsia="ro-RO"/>
              </w:rPr>
              <w:t xml:space="preserve">Documentația </w:t>
            </w:r>
            <w:proofErr w:type="spellStart"/>
            <w:r w:rsidRPr="006A1E62">
              <w:rPr>
                <w:rFonts w:eastAsia="Times New Roman" w:cstheme="minorHAnsi"/>
                <w:lang w:eastAsia="ro-RO"/>
              </w:rPr>
              <w:t>tehnico</w:t>
            </w:r>
            <w:proofErr w:type="spellEnd"/>
            <w:r w:rsidRPr="006A1E62">
              <w:rPr>
                <w:rFonts w:eastAsia="Times New Roman" w:cstheme="minorHAnsi"/>
                <w:lang w:eastAsia="ro-RO"/>
              </w:rPr>
              <w:t>-economică reflectă măsurile de atenuare/ adaptare la schimbările climatice prevăzute în documentația întocmită</w:t>
            </w:r>
          </w:p>
          <w:p w14:paraId="13886CC8" w14:textId="77777777" w:rsidR="00CE3EFE" w:rsidRDefault="00CE3EFE" w:rsidP="00CE3EFE">
            <w:pPr>
              <w:spacing w:after="0" w:line="240" w:lineRule="auto"/>
              <w:ind w:right="-57"/>
              <w:rPr>
                <w:rFonts w:eastAsia="Times New Roman" w:cstheme="minorHAnsi"/>
                <w:lang w:eastAsia="ro-RO"/>
              </w:rPr>
            </w:pPr>
          </w:p>
          <w:p w14:paraId="795C4644" w14:textId="69B9AF56" w:rsidR="00CE3EFE" w:rsidRPr="00CE3EFE" w:rsidRDefault="00CE3EFE" w:rsidP="00CE3EFE">
            <w:pPr>
              <w:spacing w:after="0" w:line="240" w:lineRule="auto"/>
              <w:ind w:right="-57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64009A7C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C80317A" w14:textId="77777777" w:rsidR="008C439A" w:rsidRPr="006A1E62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</w:p>
        </w:tc>
      </w:tr>
    </w:tbl>
    <w:p w14:paraId="647C9E93" w14:textId="77777777" w:rsidR="00CE3EFE" w:rsidRPr="006A1E62" w:rsidRDefault="00CE3EFE" w:rsidP="002D4FBF">
      <w:pPr>
        <w:spacing w:after="0" w:line="240" w:lineRule="auto"/>
        <w:jc w:val="both"/>
        <w:rPr>
          <w:rFonts w:eastAsia="Times New Roman" w:cstheme="minorHAnsi"/>
          <w:lang w:eastAsia="ro-RO"/>
        </w:rPr>
      </w:pPr>
    </w:p>
    <w:p w14:paraId="7F5E4D51" w14:textId="43EE4A46" w:rsidR="002D4FBF" w:rsidRPr="00CE3EFE" w:rsidRDefault="002D4FBF" w:rsidP="002D4FBF">
      <w:pPr>
        <w:spacing w:after="0" w:line="240" w:lineRule="auto"/>
        <w:jc w:val="both"/>
        <w:rPr>
          <w:rFonts w:eastAsia="Times New Roman" w:cstheme="minorHAnsi"/>
          <w:b/>
          <w:lang w:eastAsia="ro-RO"/>
        </w:rPr>
      </w:pPr>
      <w:r w:rsidRPr="00CE3EFE">
        <w:rPr>
          <w:rFonts w:eastAsia="Times New Roman" w:cstheme="minorHAnsi"/>
          <w:b/>
          <w:lang w:eastAsia="ro-RO"/>
        </w:rPr>
        <w:t xml:space="preserve">Notă: </w:t>
      </w:r>
    </w:p>
    <w:p w14:paraId="3B90AE36" w14:textId="3EB61F84" w:rsidR="002D4FBF" w:rsidRPr="006A1E62" w:rsidRDefault="002D4FBF" w:rsidP="002D4FBF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6A1E62">
        <w:rPr>
          <w:rFonts w:eastAsia="Times New Roman" w:cstheme="minorHAnsi"/>
          <w:lang w:eastAsia="ro-RO"/>
        </w:rPr>
        <w:t xml:space="preserve">Pentru proiectele </w:t>
      </w:r>
      <w:r w:rsidR="000E56A3" w:rsidRPr="006A1E62">
        <w:rPr>
          <w:rFonts w:eastAsia="Times New Roman" w:cstheme="minorHAnsi"/>
          <w:lang w:eastAsia="ro-RO"/>
        </w:rPr>
        <w:t>modernizarea spațiilor existente</w:t>
      </w:r>
      <w:r w:rsidRPr="006A1E62">
        <w:rPr>
          <w:rFonts w:eastAsia="Times New Roman" w:cstheme="minorHAnsi"/>
          <w:lang w:eastAsia="ro-RO"/>
        </w:rPr>
        <w:t xml:space="preserve"> care vizează </w:t>
      </w:r>
      <w:r w:rsidR="000E56A3" w:rsidRPr="006A1E62">
        <w:rPr>
          <w:rFonts w:eastAsia="Times New Roman" w:cstheme="minorHAnsi"/>
          <w:lang w:eastAsia="ro-RO"/>
        </w:rPr>
        <w:t>s</w:t>
      </w:r>
      <w:r w:rsidRPr="006A1E62">
        <w:rPr>
          <w:rFonts w:eastAsia="Times New Roman" w:cstheme="minorHAnsi"/>
          <w:lang w:eastAsia="ro-RO"/>
        </w:rPr>
        <w:t xml:space="preserve">e vor avea în vedere, cu titlu exemplificativ, și măsurile enumerate în compendiul privind Taxonomia la categoria </w:t>
      </w:r>
      <w:hyperlink r:id="rId7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Activități de renovare a clădirilor existente /</w:t>
        </w:r>
        <w:r w:rsidRPr="006A1E62">
          <w:rPr>
            <w:rStyle w:val="Hyperlink"/>
            <w:rFonts w:cstheme="minorHAnsi"/>
            <w:color w:val="aut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Renovation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existing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3079C9">
        <w:rPr>
          <w:rFonts w:cstheme="minorHAnsi"/>
        </w:rPr>
        <w:t>.</w:t>
      </w:r>
    </w:p>
    <w:p w14:paraId="12435140" w14:textId="0E0AAD7D" w:rsidR="002D4FBF" w:rsidRPr="006A1E62" w:rsidRDefault="000E56A3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t xml:space="preserve">Pentru proiectele care vizează construcția unor clădiri noi se vor avea în vedere, cu titlu exemplificativ, și măsurile enumerate în compendiul privind Taxonomia la categoria </w:t>
      </w:r>
      <w:hyperlink r:id="rId8" w:history="1"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Construirea de clădiri noi /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Construction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new</w:t>
        </w:r>
        <w:proofErr w:type="spellEnd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6A1E62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6A1E62">
        <w:rPr>
          <w:rFonts w:eastAsia="Times New Roman" w:cstheme="minorHAnsi"/>
          <w:lang w:eastAsia="ro-RO"/>
        </w:rPr>
        <w:t>.</w:t>
      </w:r>
    </w:p>
    <w:p w14:paraId="4AAE4A0F" w14:textId="63D790F7" w:rsidR="00D94E10" w:rsidRPr="006A1E62" w:rsidRDefault="00D94E10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6A1E62">
        <w:rPr>
          <w:rFonts w:eastAsia="Times New Roman" w:cstheme="minorHAnsi"/>
          <w:lang w:eastAsia="ro-RO"/>
        </w:rPr>
        <w:lastRenderedPageBreak/>
        <w:t>Pentru proiectele care propun m</w:t>
      </w:r>
      <w:r w:rsidR="00CD612F">
        <w:rPr>
          <w:rFonts w:eastAsia="Times New Roman" w:cstheme="minorHAnsi"/>
          <w:lang w:eastAsia="ro-RO"/>
        </w:rPr>
        <w:t>ă</w:t>
      </w:r>
      <w:r w:rsidRPr="006A1E62">
        <w:rPr>
          <w:rFonts w:eastAsia="Times New Roman" w:cstheme="minorHAnsi"/>
          <w:lang w:eastAsia="ro-RO"/>
        </w:rPr>
        <w:t>suri suplimentare, se acord</w:t>
      </w:r>
      <w:r w:rsidR="00CD612F">
        <w:rPr>
          <w:rFonts w:eastAsia="Times New Roman" w:cstheme="minorHAnsi"/>
          <w:lang w:eastAsia="ro-RO"/>
        </w:rPr>
        <w:t>ă</w:t>
      </w:r>
      <w:r w:rsidRPr="006A1E62">
        <w:rPr>
          <w:rFonts w:eastAsia="Times New Roman" w:cstheme="minorHAnsi"/>
          <w:lang w:eastAsia="ro-RO"/>
        </w:rPr>
        <w:t xml:space="preserve"> punctaj, conform </w:t>
      </w:r>
      <w:r w:rsidR="00F03016">
        <w:rPr>
          <w:rFonts w:eastAsia="Times New Roman" w:cstheme="minorHAnsi"/>
          <w:lang w:eastAsia="ro-RO"/>
        </w:rPr>
        <w:t xml:space="preserve">Grilei ETF -  </w:t>
      </w:r>
      <w:r w:rsidR="00F03016" w:rsidRPr="00BB5890">
        <w:rPr>
          <w:rFonts w:eastAsia="Times New Roman" w:cstheme="minorHAnsi"/>
          <w:lang w:eastAsia="ro-RO"/>
        </w:rPr>
        <w:t xml:space="preserve">Anexa </w:t>
      </w:r>
      <w:r w:rsidR="00BB5890">
        <w:rPr>
          <w:rFonts w:eastAsia="Times New Roman" w:cstheme="minorHAnsi"/>
          <w:lang w:eastAsia="ro-RO"/>
        </w:rPr>
        <w:t>10</w:t>
      </w:r>
      <w:r w:rsidR="00F03016">
        <w:rPr>
          <w:rFonts w:eastAsia="Times New Roman" w:cstheme="minorHAnsi"/>
          <w:lang w:eastAsia="ro-RO"/>
        </w:rPr>
        <w:t xml:space="preserve"> la Ghidul solicitantului.</w:t>
      </w:r>
    </w:p>
    <w:p w14:paraId="4D32D895" w14:textId="32AB9795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7BE30598" w14:textId="6B411727" w:rsidR="002D689A" w:rsidRPr="006A1E62" w:rsidRDefault="002D689A" w:rsidP="000E56A3">
      <w:pPr>
        <w:spacing w:after="0"/>
        <w:jc w:val="both"/>
        <w:rPr>
          <w:rFonts w:eastAsia="Times New Roman" w:cstheme="minorHAnsi"/>
          <w:lang w:eastAsia="ro-RO"/>
        </w:rPr>
      </w:pPr>
    </w:p>
    <w:p w14:paraId="1EC04E0E" w14:textId="77777777" w:rsidR="0020541A" w:rsidRPr="006A1E62" w:rsidRDefault="0020541A" w:rsidP="000E56A3">
      <w:pPr>
        <w:spacing w:after="0"/>
        <w:jc w:val="both"/>
        <w:rPr>
          <w:rFonts w:eastAsia="Times New Roman" w:cstheme="minorHAnsi"/>
          <w:lang w:eastAsia="ro-RO"/>
        </w:rPr>
      </w:pPr>
    </w:p>
    <w:sectPr w:rsidR="0020541A" w:rsidRPr="006A1E62" w:rsidSect="007A4541">
      <w:headerReference w:type="default" r:id="rId9"/>
      <w:footerReference w:type="default" r:id="rId10"/>
      <w:pgSz w:w="16838" w:h="11906" w:orient="landscape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86D1" w14:textId="77777777" w:rsidR="002B6973" w:rsidRDefault="002B6973" w:rsidP="008D157D">
      <w:pPr>
        <w:spacing w:after="0" w:line="240" w:lineRule="auto"/>
      </w:pPr>
      <w:r>
        <w:separator/>
      </w:r>
    </w:p>
  </w:endnote>
  <w:endnote w:type="continuationSeparator" w:id="0">
    <w:p w14:paraId="4ABFB705" w14:textId="77777777" w:rsidR="002B6973" w:rsidRDefault="002B6973" w:rsidP="008D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87A7" w14:textId="4D16C695" w:rsidR="00F91430" w:rsidRDefault="00F91430" w:rsidP="00F91430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 w:rsidRPr="00F91430">
      <w:rPr>
        <w:noProof/>
        <w:szCs w:val="20"/>
        <w:lang w:val="en-GB" w:eastAsia="en-GB"/>
      </w:rPr>
      <w:drawing>
        <wp:anchor distT="0" distB="0" distL="114300" distR="114300" simplePos="0" relativeHeight="251659264" behindDoc="0" locked="0" layoutInCell="1" allowOverlap="1" wp14:anchorId="4D89CA57" wp14:editId="7DCD11D9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1430">
      <w:rPr>
        <w:rFonts w:ascii="Arial" w:hAnsi="Arial" w:cs="Arial"/>
        <w:b/>
        <w:color w:val="0070C0"/>
        <w:szCs w:val="20"/>
        <w:lang w:val="en-GB"/>
      </w:rPr>
      <w:t xml:space="preserve">         </w:t>
    </w:r>
  </w:p>
  <w:p w14:paraId="649283DB" w14:textId="7F363999" w:rsidR="00F91430" w:rsidRPr="00F91430" w:rsidRDefault="00A03DD2" w:rsidP="00871DB4">
    <w:pPr>
      <w:spacing w:after="0"/>
      <w:jc w:val="center"/>
      <w:rPr>
        <w:rFonts w:ascii="Arial" w:hAnsi="Arial" w:cs="Arial"/>
        <w:b/>
        <w:i/>
        <w:iCs/>
        <w:color w:val="0070C0"/>
        <w:szCs w:val="20"/>
        <w:lang w:val="en-GB"/>
      </w:rPr>
    </w:pPr>
    <w:r>
      <w:rPr>
        <w:rFonts w:ascii="Arial" w:hAnsi="Arial" w:cs="Arial"/>
        <w:b/>
        <w:i/>
        <w:iCs/>
        <w:noProof/>
        <w:color w:val="0070C0"/>
        <w:szCs w:val="20"/>
        <w:lang w:val="en-GB"/>
      </w:rPr>
      <w:drawing>
        <wp:inline distT="0" distB="0" distL="0" distR="0" wp14:anchorId="5E4C90BA" wp14:editId="5131F446">
          <wp:extent cx="9071610" cy="475615"/>
          <wp:effectExtent l="0" t="0" r="0" b="635"/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161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852" w14:textId="77777777" w:rsidR="002B6973" w:rsidRDefault="002B6973" w:rsidP="008D157D">
      <w:pPr>
        <w:spacing w:after="0" w:line="240" w:lineRule="auto"/>
      </w:pPr>
      <w:r>
        <w:separator/>
      </w:r>
    </w:p>
  </w:footnote>
  <w:footnote w:type="continuationSeparator" w:id="0">
    <w:p w14:paraId="0532F9FF" w14:textId="77777777" w:rsidR="002B6973" w:rsidRDefault="002B6973" w:rsidP="008D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B4A" w14:textId="335B181A" w:rsidR="00A5108F" w:rsidRDefault="00A03DD2" w:rsidP="00DE04FB">
    <w:pPr>
      <w:pStyle w:val="Antet"/>
      <w:tabs>
        <w:tab w:val="left" w:pos="756"/>
        <w:tab w:val="center" w:pos="7143"/>
      </w:tabs>
      <w:jc w:val="center"/>
    </w:pPr>
    <w:r>
      <w:rPr>
        <w:noProof/>
      </w:rPr>
      <w:drawing>
        <wp:inline distT="0" distB="0" distL="0" distR="0" wp14:anchorId="48B876E9" wp14:editId="7B67DB72">
          <wp:extent cx="9071610" cy="904875"/>
          <wp:effectExtent l="0" t="0" r="0" b="9525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1610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6B46CA" w14:textId="77777777" w:rsidR="00A5108F" w:rsidRDefault="00A5108F">
    <w:pPr>
      <w:pStyle w:val="Antet"/>
    </w:pPr>
  </w:p>
  <w:p w14:paraId="6A5F1F59" w14:textId="22AD9737" w:rsidR="00F91430" w:rsidRDefault="00A415DC" w:rsidP="00A415DC">
    <w:pPr>
      <w:pStyle w:val="Antet"/>
      <w:tabs>
        <w:tab w:val="clear" w:pos="4703"/>
        <w:tab w:val="clear" w:pos="9406"/>
        <w:tab w:val="left" w:pos="89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756D5"/>
    <w:multiLevelType w:val="hybridMultilevel"/>
    <w:tmpl w:val="D4A2C95A"/>
    <w:lvl w:ilvl="0" w:tplc="0712A5F4">
      <w:start w:val="1"/>
      <w:numFmt w:val="lowerLetter"/>
      <w:lvlText w:val="%1)"/>
      <w:lvlJc w:val="left"/>
      <w:pPr>
        <w:ind w:left="2058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1" w15:restartNumberingAfterBreak="0">
    <w:nsid w:val="21753229"/>
    <w:multiLevelType w:val="hybridMultilevel"/>
    <w:tmpl w:val="253E3C2E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21FE368D"/>
    <w:multiLevelType w:val="hybridMultilevel"/>
    <w:tmpl w:val="54AE0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834AC"/>
    <w:multiLevelType w:val="hybridMultilevel"/>
    <w:tmpl w:val="EFB0B7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24895191"/>
    <w:multiLevelType w:val="hybridMultilevel"/>
    <w:tmpl w:val="D6A062FA"/>
    <w:lvl w:ilvl="0" w:tplc="04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2B79766C"/>
    <w:multiLevelType w:val="hybridMultilevel"/>
    <w:tmpl w:val="7326FE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326627EE"/>
    <w:multiLevelType w:val="hybridMultilevel"/>
    <w:tmpl w:val="A768CC1A"/>
    <w:lvl w:ilvl="0" w:tplc="0054F236">
      <w:start w:val="1"/>
      <w:numFmt w:val="upperLetter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 w15:restartNumberingAfterBreak="0">
    <w:nsid w:val="44217925"/>
    <w:multiLevelType w:val="hybridMultilevel"/>
    <w:tmpl w:val="1280FC34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 w15:restartNumberingAfterBreak="0">
    <w:nsid w:val="51AF7472"/>
    <w:multiLevelType w:val="hybridMultilevel"/>
    <w:tmpl w:val="7BE0D4C0"/>
    <w:lvl w:ilvl="0" w:tplc="137E3714">
      <w:start w:val="1"/>
      <w:numFmt w:val="decimal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 w15:restartNumberingAfterBreak="0">
    <w:nsid w:val="54464176"/>
    <w:multiLevelType w:val="hybridMultilevel"/>
    <w:tmpl w:val="5818126A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6B35958"/>
    <w:multiLevelType w:val="hybridMultilevel"/>
    <w:tmpl w:val="789422C8"/>
    <w:lvl w:ilvl="0" w:tplc="7C7E78F8"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6FB954E2"/>
    <w:multiLevelType w:val="hybridMultilevel"/>
    <w:tmpl w:val="6558438E"/>
    <w:lvl w:ilvl="0" w:tplc="0409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7F34400B"/>
    <w:multiLevelType w:val="hybridMultilevel"/>
    <w:tmpl w:val="786E9DFC"/>
    <w:lvl w:ilvl="0" w:tplc="9BDE3C16">
      <w:start w:val="1"/>
      <w:numFmt w:val="upperLetter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11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CA3"/>
    <w:rsid w:val="00013DAB"/>
    <w:rsid w:val="000204F9"/>
    <w:rsid w:val="00034B0E"/>
    <w:rsid w:val="00045AA8"/>
    <w:rsid w:val="000629D0"/>
    <w:rsid w:val="00095A6E"/>
    <w:rsid w:val="000E56A3"/>
    <w:rsid w:val="00125A6D"/>
    <w:rsid w:val="001351D0"/>
    <w:rsid w:val="00163E4B"/>
    <w:rsid w:val="0017040F"/>
    <w:rsid w:val="001711A5"/>
    <w:rsid w:val="001D0325"/>
    <w:rsid w:val="001E2255"/>
    <w:rsid w:val="0020541A"/>
    <w:rsid w:val="00222DB6"/>
    <w:rsid w:val="002415BF"/>
    <w:rsid w:val="00283DD0"/>
    <w:rsid w:val="00297D74"/>
    <w:rsid w:val="002A5DDB"/>
    <w:rsid w:val="002B0E4E"/>
    <w:rsid w:val="002B4B42"/>
    <w:rsid w:val="002B6973"/>
    <w:rsid w:val="002D4FBF"/>
    <w:rsid w:val="002D689A"/>
    <w:rsid w:val="002E2D93"/>
    <w:rsid w:val="002F0176"/>
    <w:rsid w:val="002F6A7C"/>
    <w:rsid w:val="00301EBB"/>
    <w:rsid w:val="003075A1"/>
    <w:rsid w:val="003079C9"/>
    <w:rsid w:val="00374223"/>
    <w:rsid w:val="00392901"/>
    <w:rsid w:val="003A5C5B"/>
    <w:rsid w:val="003B5AC2"/>
    <w:rsid w:val="003E1BF5"/>
    <w:rsid w:val="003E26FD"/>
    <w:rsid w:val="003F4D3E"/>
    <w:rsid w:val="003F4E1A"/>
    <w:rsid w:val="003F7277"/>
    <w:rsid w:val="00426F3D"/>
    <w:rsid w:val="00451624"/>
    <w:rsid w:val="0047724A"/>
    <w:rsid w:val="004849C6"/>
    <w:rsid w:val="004B0040"/>
    <w:rsid w:val="004C69A9"/>
    <w:rsid w:val="004C6D39"/>
    <w:rsid w:val="004D6D09"/>
    <w:rsid w:val="00516BEE"/>
    <w:rsid w:val="00532665"/>
    <w:rsid w:val="005330C5"/>
    <w:rsid w:val="0055382B"/>
    <w:rsid w:val="00574878"/>
    <w:rsid w:val="00583030"/>
    <w:rsid w:val="005865AC"/>
    <w:rsid w:val="005B4527"/>
    <w:rsid w:val="005D7B21"/>
    <w:rsid w:val="005D7E3C"/>
    <w:rsid w:val="00604664"/>
    <w:rsid w:val="00617F4E"/>
    <w:rsid w:val="00635B82"/>
    <w:rsid w:val="006A1E62"/>
    <w:rsid w:val="006C0961"/>
    <w:rsid w:val="006C36F2"/>
    <w:rsid w:val="006D064E"/>
    <w:rsid w:val="006D2452"/>
    <w:rsid w:val="006E1009"/>
    <w:rsid w:val="0072496D"/>
    <w:rsid w:val="00734690"/>
    <w:rsid w:val="0073745D"/>
    <w:rsid w:val="007420BE"/>
    <w:rsid w:val="0074409E"/>
    <w:rsid w:val="00756C63"/>
    <w:rsid w:val="00797862"/>
    <w:rsid w:val="007A4541"/>
    <w:rsid w:val="007B65E9"/>
    <w:rsid w:val="007D09C4"/>
    <w:rsid w:val="007E19DB"/>
    <w:rsid w:val="007E2FFE"/>
    <w:rsid w:val="008447D2"/>
    <w:rsid w:val="00871DB4"/>
    <w:rsid w:val="00873155"/>
    <w:rsid w:val="00882F9C"/>
    <w:rsid w:val="008B0E42"/>
    <w:rsid w:val="008C439A"/>
    <w:rsid w:val="008D157D"/>
    <w:rsid w:val="008F1721"/>
    <w:rsid w:val="009034D8"/>
    <w:rsid w:val="0093729D"/>
    <w:rsid w:val="00977378"/>
    <w:rsid w:val="009B145A"/>
    <w:rsid w:val="009B2CA3"/>
    <w:rsid w:val="009C1BE4"/>
    <w:rsid w:val="009E2EF1"/>
    <w:rsid w:val="009F1BBA"/>
    <w:rsid w:val="00A03DD2"/>
    <w:rsid w:val="00A415DC"/>
    <w:rsid w:val="00A4324B"/>
    <w:rsid w:val="00A46849"/>
    <w:rsid w:val="00A5108F"/>
    <w:rsid w:val="00A63AA7"/>
    <w:rsid w:val="00A63AB2"/>
    <w:rsid w:val="00A83957"/>
    <w:rsid w:val="00A8484A"/>
    <w:rsid w:val="00AB08D3"/>
    <w:rsid w:val="00AD064C"/>
    <w:rsid w:val="00AD1245"/>
    <w:rsid w:val="00AF4EA2"/>
    <w:rsid w:val="00AF62A9"/>
    <w:rsid w:val="00B13025"/>
    <w:rsid w:val="00B16B41"/>
    <w:rsid w:val="00B21AFD"/>
    <w:rsid w:val="00B37327"/>
    <w:rsid w:val="00B55A43"/>
    <w:rsid w:val="00B76C36"/>
    <w:rsid w:val="00BA322A"/>
    <w:rsid w:val="00BB5890"/>
    <w:rsid w:val="00BD223A"/>
    <w:rsid w:val="00C21B89"/>
    <w:rsid w:val="00C366B4"/>
    <w:rsid w:val="00C74C96"/>
    <w:rsid w:val="00CB2EDB"/>
    <w:rsid w:val="00CB4497"/>
    <w:rsid w:val="00CC594B"/>
    <w:rsid w:val="00CD612F"/>
    <w:rsid w:val="00CE2492"/>
    <w:rsid w:val="00CE3EFE"/>
    <w:rsid w:val="00D306F5"/>
    <w:rsid w:val="00D44E97"/>
    <w:rsid w:val="00D83FA2"/>
    <w:rsid w:val="00D94E10"/>
    <w:rsid w:val="00DC5DA5"/>
    <w:rsid w:val="00DD3496"/>
    <w:rsid w:val="00DE04FB"/>
    <w:rsid w:val="00E03378"/>
    <w:rsid w:val="00E32E20"/>
    <w:rsid w:val="00E53D92"/>
    <w:rsid w:val="00E5538A"/>
    <w:rsid w:val="00EB5C9E"/>
    <w:rsid w:val="00EE6BBD"/>
    <w:rsid w:val="00F03016"/>
    <w:rsid w:val="00F21B58"/>
    <w:rsid w:val="00F31947"/>
    <w:rsid w:val="00F6430D"/>
    <w:rsid w:val="00F73948"/>
    <w:rsid w:val="00F91430"/>
    <w:rsid w:val="00F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90656B"/>
  <w15:chartTrackingRefBased/>
  <w15:docId w15:val="{73CF4E54-A039-4208-8138-5F8C4E0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01">
    <w:name w:val="fontstyle01"/>
    <w:basedOn w:val="Fontdeparagrafimplicit"/>
    <w:rsid w:val="00034B0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deparagrafimplicit"/>
    <w:rsid w:val="00034B0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istparagraf">
    <w:name w:val="List Paragraph"/>
    <w:basedOn w:val="Normal"/>
    <w:uiPriority w:val="34"/>
    <w:qFormat/>
    <w:rsid w:val="00756C63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157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157D"/>
    <w:rPr>
      <w:sz w:val="20"/>
      <w:szCs w:val="20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uiPriority w:val="99"/>
    <w:unhideWhenUsed/>
    <w:qFormat/>
    <w:rsid w:val="008D157D"/>
    <w:rPr>
      <w:vertAlign w:val="superscript"/>
    </w:rPr>
  </w:style>
  <w:style w:type="table" w:styleId="Tabelgril">
    <w:name w:val="Table Grid"/>
    <w:basedOn w:val="TabelNormal"/>
    <w:uiPriority w:val="39"/>
    <w:rsid w:val="007A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2D4FBF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0E56A3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51D0"/>
  </w:style>
  <w:style w:type="paragraph" w:styleId="Subsol">
    <w:name w:val="footer"/>
    <w:basedOn w:val="Normal"/>
    <w:link w:val="SubsolCaracte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51D0"/>
  </w:style>
  <w:style w:type="paragraph" w:customStyle="1" w:styleId="Default">
    <w:name w:val="Default"/>
    <w:rsid w:val="007D09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ustainable-finance-taxonomy/activities/activity/223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.europa.eu/sustainable-finance-taxonomy/activities/activity/224/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PAULA-ANDRA PRUNECI</cp:lastModifiedBy>
  <cp:revision>22</cp:revision>
  <cp:lastPrinted>2023-06-08T12:34:00Z</cp:lastPrinted>
  <dcterms:created xsi:type="dcterms:W3CDTF">2023-10-10T09:22:00Z</dcterms:created>
  <dcterms:modified xsi:type="dcterms:W3CDTF">2024-04-22T15:27:00Z</dcterms:modified>
</cp:coreProperties>
</file>